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Human Resources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Roles and Responsibilities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A picture of each team member and a description of the role that they have in the business.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Salary and Wages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Weekly salary for the CEO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Weekly salary for the Managers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Starting hourly wages for production workers and other staff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50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505"/>
        <w:gridCol w:w="25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Weekly Salary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$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x No. of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= CEO Salary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$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50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505"/>
        <w:gridCol w:w="25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Weekly Salary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$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x No. of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= Managers Salary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$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x No. of Managers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= Managers Salaries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i w:val="1"/>
                <w:rtl w:val="0"/>
              </w:rPr>
              <w:t xml:space="preserve">$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Corporate Social Responsibility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Employee Wellbeing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Ways to improve the internal communications and working conditions for staff members: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u w:val="single"/>
          <w:rtl w:val="0"/>
        </w:rPr>
        <w:t xml:space="preserve">Environment Protection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Ways to minimise operations impact on the environment: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i w:val="1"/>
          <w:rtl w:val="0"/>
        </w:rPr>
        <w:t xml:space="preserve">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u w:val="single"/>
          <w:rtl w:val="0"/>
        </w:rPr>
        <w:t xml:space="preserve">Community Outreach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% of profits that will go to Masarang from the sale of your product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Volunteering work and activities to promote Masarang and the sale of your product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 - HR.docx</dc:title>
</cp:coreProperties>
</file>